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b/>
          <w:bCs/>
          <w:color w:val="000080"/>
          <w:sz w:val="36"/>
          <w:szCs w:val="36"/>
          <w:lang w:eastAsia="pl-PL"/>
        </w:rPr>
        <w:t>Fundacja im. Nikoli Tesli, </w:t>
      </w:r>
      <w:r w:rsidRPr="004E6848">
        <w:rPr>
          <w:rFonts w:ascii="Helvetica" w:eastAsia="Times New Roman" w:hAnsi="Helvetica" w:cs="Helvetica"/>
          <w:b/>
          <w:bCs/>
          <w:color w:val="000080"/>
          <w:sz w:val="26"/>
          <w:szCs w:val="26"/>
          <w:lang w:eastAsia="pl-PL"/>
        </w:rPr>
        <w:t>ul. Proletariacka 3/28, 15-449 Białystok</w:t>
      </w:r>
      <w:r w:rsidRPr="004E6848">
        <w:rPr>
          <w:rFonts w:ascii="Helvetica" w:eastAsia="Times New Roman" w:hAnsi="Helvetica" w:cs="Helvetica"/>
          <w:b/>
          <w:bCs/>
          <w:color w:val="000000"/>
          <w:sz w:val="26"/>
          <w:szCs w:val="26"/>
          <w:lang w:eastAsia="pl-PL"/>
        </w:rPr>
        <w:t> </w:t>
      </w:r>
      <w:r w:rsidRPr="004E6848">
        <w:rPr>
          <w:rFonts w:ascii="Helvetica" w:eastAsia="Times New Roman" w:hAnsi="Helvetica" w:cs="Helvetica"/>
          <w:b/>
          <w:bCs/>
          <w:i/>
          <w:iCs/>
          <w:color w:val="000080"/>
          <w:sz w:val="36"/>
          <w:szCs w:val="36"/>
          <w:lang w:eastAsia="pl-PL"/>
        </w:rPr>
        <w:t>KRS 00000443710</w:t>
      </w:r>
    </w:p>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b/>
          <w:bCs/>
          <w:color w:val="000000"/>
          <w:sz w:val="19"/>
          <w:szCs w:val="19"/>
          <w:lang w:eastAsia="pl-PL"/>
        </w:rPr>
        <w:t>Do Przewodniczących Rad Miejskich i Gminnych w Polsce - Uzupełnienie Petycji dotycząca kwestii szkodliwości maseczek i rozporządzenia o konieczności zakrywania ust i nosa</w:t>
      </w:r>
    </w:p>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b/>
          <w:bCs/>
          <w:color w:val="000000"/>
          <w:sz w:val="19"/>
          <w:szCs w:val="19"/>
          <w:lang w:eastAsia="pl-PL"/>
        </w:rPr>
        <w:t>Należy zacząć od Konstytucji i zasięgu prawnego Uchwał Rady Ministrów i kogo one dotyczą.</w:t>
      </w:r>
    </w:p>
    <w:p w:rsidR="004E6848" w:rsidRPr="004E6848" w:rsidRDefault="004E6848" w:rsidP="004E6848">
      <w:pPr>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4E6848">
        <w:rPr>
          <w:rFonts w:ascii="Helvetica" w:eastAsia="Times New Roman" w:hAnsi="Helvetica" w:cs="Helvetica"/>
          <w:b/>
          <w:bCs/>
          <w:i/>
          <w:iCs/>
          <w:color w:val="000000"/>
          <w:sz w:val="19"/>
          <w:szCs w:val="19"/>
          <w:lang w:eastAsia="pl-PL"/>
        </w:rPr>
        <w:t>Art. 93. Konstytucji 1. Uchwały Rady Ministrów oraz zarządzenia Prezesa Rady Ministrów i ministrów mają charakter wewnętrzny i obowiązują tylko jednostki organizacyjnie podległe organowi wydającemu te akty 2. Zarządzenia są wydawane tylko na podstawie ustawy. Nie mogą one stanowić podstawy decyzji wobec obywateli, osób prawnych oraz innych podmiotów 3. Uchwały i zarządzenia podlegają kontroli co do ich zgodności z powszechnie obowiązującym prawem.</w:t>
      </w:r>
    </w:p>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b/>
          <w:bCs/>
          <w:color w:val="000000"/>
          <w:sz w:val="19"/>
          <w:szCs w:val="19"/>
          <w:lang w:eastAsia="pl-PL"/>
        </w:rPr>
        <w:t>Wg treści Zarządzenia Rady Ministrów dotycząca zakrywania Ust i Nosa do dnia 31.01.22r</w:t>
      </w:r>
      <w:r w:rsidRPr="004E6848">
        <w:rPr>
          <w:rFonts w:ascii="Helvetica" w:eastAsia="Times New Roman" w:hAnsi="Helvetica" w:cs="Helvetica"/>
          <w:b/>
          <w:bCs/>
          <w:i/>
          <w:iCs/>
          <w:color w:val="000000"/>
          <w:sz w:val="19"/>
          <w:szCs w:val="19"/>
          <w:lang w:eastAsia="pl-PL"/>
        </w:rPr>
        <w:t> (</w:t>
      </w:r>
      <w:hyperlink r:id="rId5" w:tgtFrame="_blank" w:history="1">
        <w:r w:rsidRPr="004E6848">
          <w:rPr>
            <w:rFonts w:ascii="Helvetica" w:eastAsia="Times New Roman" w:hAnsi="Helvetica" w:cs="Helvetica"/>
            <w:b/>
            <w:bCs/>
            <w:i/>
            <w:iCs/>
            <w:color w:val="000000"/>
            <w:sz w:val="19"/>
            <w:szCs w:val="19"/>
            <w:u w:val="single"/>
            <w:lang w:eastAsia="pl-PL"/>
          </w:rPr>
          <w:t>Pełna treść w załączeniu</w:t>
        </w:r>
      </w:hyperlink>
      <w:r w:rsidRPr="004E6848">
        <w:rPr>
          <w:rFonts w:ascii="Helvetica" w:eastAsia="Times New Roman" w:hAnsi="Helvetica" w:cs="Helvetica"/>
          <w:b/>
          <w:bCs/>
          <w:i/>
          <w:iCs/>
          <w:color w:val="000000"/>
          <w:sz w:val="19"/>
          <w:szCs w:val="19"/>
          <w:lang w:eastAsia="pl-PL"/>
        </w:rPr>
        <w:t>) </w:t>
      </w:r>
      <w:r w:rsidRPr="004E6848">
        <w:rPr>
          <w:rFonts w:ascii="Helvetica" w:eastAsia="Times New Roman" w:hAnsi="Helvetica" w:cs="Helvetica"/>
          <w:b/>
          <w:bCs/>
          <w:color w:val="000000"/>
          <w:sz w:val="19"/>
          <w:szCs w:val="19"/>
          <w:lang w:eastAsia="pl-PL"/>
        </w:rPr>
        <w:t>można przeczytać, że nie są to nakazy tylko "sugestie" gdyż istnieją tam zapisy "</w:t>
      </w:r>
      <w:r w:rsidRPr="004E6848">
        <w:rPr>
          <w:rFonts w:ascii="Helvetica" w:eastAsia="Times New Roman" w:hAnsi="Helvetica" w:cs="Helvetica"/>
          <w:b/>
          <w:bCs/>
          <w:i/>
          <w:iCs/>
          <w:color w:val="000000"/>
          <w:sz w:val="19"/>
          <w:szCs w:val="19"/>
          <w:lang w:eastAsia="pl-PL"/>
        </w:rPr>
        <w:t>chyba że pracodawca postanowi inaczej"</w:t>
      </w:r>
    </w:p>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i/>
          <w:iCs/>
          <w:color w:val="000000"/>
          <w:sz w:val="19"/>
          <w:szCs w:val="19"/>
          <w:lang w:eastAsia="pl-PL"/>
        </w:rPr>
        <w:t>2) c) </w:t>
      </w:r>
      <w:r w:rsidRPr="004E6848">
        <w:rPr>
          <w:rFonts w:ascii="Helvetica" w:eastAsia="Times New Roman" w:hAnsi="Helvetica" w:cs="Helvetica"/>
          <w:b/>
          <w:bCs/>
          <w:i/>
          <w:iCs/>
          <w:color w:val="000000"/>
          <w:sz w:val="19"/>
          <w:szCs w:val="19"/>
          <w:lang w:eastAsia="pl-PL"/>
        </w:rPr>
        <w:t>w zakładach pracy, jeżeli w pomieszczeniu przebywa więcej niż 1 osoba,</w:t>
      </w:r>
      <w:r w:rsidRPr="004E6848">
        <w:rPr>
          <w:rFonts w:ascii="Helvetica" w:eastAsia="Times New Roman" w:hAnsi="Helvetica" w:cs="Helvetica"/>
          <w:i/>
          <w:iCs/>
          <w:color w:val="000000"/>
          <w:sz w:val="19"/>
          <w:szCs w:val="19"/>
          <w:lang w:eastAsia="pl-PL"/>
        </w:rPr>
        <w:t> </w:t>
      </w:r>
      <w:r w:rsidRPr="004E6848">
        <w:rPr>
          <w:rFonts w:ascii="Helvetica" w:eastAsia="Times New Roman" w:hAnsi="Helvetica" w:cs="Helvetica"/>
          <w:b/>
          <w:bCs/>
          <w:i/>
          <w:iCs/>
          <w:color w:val="000000"/>
          <w:sz w:val="19"/>
          <w:szCs w:val="19"/>
          <w:lang w:eastAsia="pl-PL"/>
        </w:rPr>
        <w:t>chyba że pracodawca postanowi inaczej</w:t>
      </w:r>
    </w:p>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i/>
          <w:iCs/>
          <w:color w:val="000000"/>
          <w:sz w:val="19"/>
          <w:szCs w:val="19"/>
          <w:lang w:eastAsia="pl-PL"/>
        </w:rPr>
        <w:t>4) [...] </w:t>
      </w:r>
      <w:r w:rsidRPr="004E6848">
        <w:rPr>
          <w:rFonts w:ascii="Helvetica" w:eastAsia="Times New Roman" w:hAnsi="Helvetica" w:cs="Helvetica"/>
          <w:b/>
          <w:bCs/>
          <w:i/>
          <w:iCs/>
          <w:color w:val="000000"/>
          <w:sz w:val="19"/>
          <w:szCs w:val="19"/>
          <w:lang w:eastAsia="pl-PL"/>
        </w:rPr>
        <w:t>przez uczniów oraz osoby zatrudnione w szkole lub placówce oświatowej </w:t>
      </w:r>
      <w:r w:rsidRPr="004E6848">
        <w:rPr>
          <w:rFonts w:ascii="Helvetica" w:eastAsia="Times New Roman" w:hAnsi="Helvetica" w:cs="Helvetica"/>
          <w:i/>
          <w:iCs/>
          <w:color w:val="000000"/>
          <w:sz w:val="19"/>
          <w:szCs w:val="19"/>
          <w:lang w:eastAsia="pl-PL"/>
        </w:rPr>
        <w:t>- poza czasem zajęć edukacyjnych na ich terenie, </w:t>
      </w:r>
      <w:r w:rsidRPr="004E6848">
        <w:rPr>
          <w:rFonts w:ascii="Helvetica" w:eastAsia="Times New Roman" w:hAnsi="Helvetica" w:cs="Helvetica"/>
          <w:b/>
          <w:bCs/>
          <w:i/>
          <w:iCs/>
          <w:color w:val="000000"/>
          <w:sz w:val="19"/>
          <w:szCs w:val="19"/>
          <w:lang w:eastAsia="pl-PL"/>
        </w:rPr>
        <w:t>chyba że kierujący takim podmiotem postanowi inaczej;</w:t>
      </w:r>
    </w:p>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i/>
          <w:iCs/>
          <w:color w:val="000000"/>
          <w:sz w:val="19"/>
          <w:szCs w:val="19"/>
          <w:lang w:eastAsia="pl-PL"/>
        </w:rPr>
        <w:t>5) </w:t>
      </w:r>
      <w:r w:rsidRPr="004E6848">
        <w:rPr>
          <w:rFonts w:ascii="Helvetica" w:eastAsia="Times New Roman" w:hAnsi="Helvetica" w:cs="Helvetica"/>
          <w:b/>
          <w:bCs/>
          <w:i/>
          <w:iCs/>
          <w:color w:val="000000"/>
          <w:sz w:val="19"/>
          <w:szCs w:val="19"/>
          <w:lang w:eastAsia="pl-PL"/>
        </w:rPr>
        <w:t>przez studentów, doktorantów, uczestników studiów podyplomowych,</w:t>
      </w:r>
      <w:r w:rsidRPr="004E6848">
        <w:rPr>
          <w:rFonts w:ascii="Helvetica" w:eastAsia="Times New Roman" w:hAnsi="Helvetica" w:cs="Helvetica"/>
          <w:i/>
          <w:iCs/>
          <w:color w:val="000000"/>
          <w:sz w:val="19"/>
          <w:szCs w:val="19"/>
          <w:lang w:eastAsia="pl-PL"/>
        </w:rPr>
        <w:t> kształcenia specjalistycznego i innych form kształcenia, osoby zatrudnione w uczelni i inne osoby prowadzące w niej zajęcia oraz osoby prowadzące zajęcia z doktorantami, uczestnikami studiów podyplomowych lub innych form kształcenia w instytutach badawczych, w instytutach naukowych Polskiej Akademii Nauk, w międzynarodowych instytutach naukowych utworzonych na podstawie odrębnych ustaw działających na terytorium Rzeczypospolitej Polskiej lub w federacjach podmiotów systemu szkolnictwa wyższego i nauki - poza czasem zajęć na terenie uczelni, instytutu lub federacji, </w:t>
      </w:r>
      <w:r w:rsidRPr="004E6848">
        <w:rPr>
          <w:rFonts w:ascii="Helvetica" w:eastAsia="Times New Roman" w:hAnsi="Helvetica" w:cs="Helvetica"/>
          <w:b/>
          <w:bCs/>
          <w:i/>
          <w:iCs/>
          <w:color w:val="000000"/>
          <w:sz w:val="19"/>
          <w:szCs w:val="19"/>
          <w:lang w:eastAsia="pl-PL"/>
        </w:rPr>
        <w:t>chyba że odpowiednio rektor, dyrektor instytutu lub prezydent federacji postanowi inaczej.</w:t>
      </w:r>
    </w:p>
    <w:p w:rsidR="004E6848" w:rsidRPr="004E6848" w:rsidRDefault="004E6848" w:rsidP="004E6848">
      <w:pPr>
        <w:shd w:val="clear" w:color="auto" w:fill="FFFFFF"/>
        <w:spacing w:after="288"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color w:val="000000"/>
          <w:sz w:val="19"/>
          <w:szCs w:val="19"/>
          <w:lang w:eastAsia="pl-PL"/>
        </w:rPr>
        <w:t>Więc Dyrektorzy Szkół, Prezydenci Miast itp. w myśl art. 93 Konstytucji nie mogą żądać od rodziców, dzieci lub petentów urzędów noszenia maseczek gdyż ich te rozporządzenia nie dotyczą (chyba, że sami chcą je nosić - dobrowolność) - w innym razie przymuszanie do noszenia maseczek jest karalne a szczególnie wtedy gdy maseczki są szkodliwe dla zdrowie o czym świadczą różne Prace Naukowe, które dostarczyła fundacja... to pracodawca a nie Rząd będzie ponosił odpowiedzialność karną.</w:t>
      </w:r>
    </w:p>
    <w:p w:rsidR="004E6848" w:rsidRPr="004E6848" w:rsidRDefault="004E6848" w:rsidP="004E6848">
      <w:pPr>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4E6848">
        <w:rPr>
          <w:rFonts w:ascii="Helvetica" w:eastAsia="Times New Roman" w:hAnsi="Helvetica" w:cs="Helvetica"/>
          <w:b/>
          <w:bCs/>
          <w:i/>
          <w:iCs/>
          <w:color w:val="000000"/>
          <w:sz w:val="19"/>
          <w:szCs w:val="19"/>
          <w:lang w:eastAsia="pl-PL"/>
        </w:rPr>
        <w:t>Art. 220. kk [Narażenie życia albo zdrowia pracownika] § 1. Kto, będąc odpowiedzialny za bezpieczeństwo i higienę pracy, nie dopełnia wynikającego stąd obowiązku i przez to naraża pracownika na bezpośrednie niebezpieczeństwo utraty życia albo ciężkiego uszczerbku na zdrowiu, podlega karze pozbawienia wolności do lat 3. § 2. Jeżeli sprawca działa nieumyślnie, podlega grzywnie, karze ograniczenia wolności albo pozbawienia wolności do roku. § 3. Nie podlega karze sprawca, który dobrowolnie uchylił grożące niebezpieczeństwo.</w:t>
      </w:r>
    </w:p>
    <w:p w:rsidR="004E6848" w:rsidRPr="004E6848" w:rsidRDefault="004E6848" w:rsidP="004E6848">
      <w:pPr>
        <w:shd w:val="clear" w:color="auto" w:fill="FFFFFF"/>
        <w:spacing w:after="0" w:line="240" w:lineRule="auto"/>
        <w:jc w:val="center"/>
        <w:rPr>
          <w:rFonts w:ascii="Times New Roman" w:eastAsia="Times New Roman" w:hAnsi="Times New Roman" w:cs="Times New Roman"/>
          <w:color w:val="2C363A"/>
          <w:sz w:val="24"/>
          <w:szCs w:val="24"/>
          <w:lang w:eastAsia="pl-PL"/>
        </w:rPr>
      </w:pPr>
      <w:r w:rsidRPr="004E6848">
        <w:rPr>
          <w:rFonts w:ascii="Helvetica" w:eastAsia="Times New Roman" w:hAnsi="Helvetica" w:cs="Helvetica"/>
          <w:color w:val="000000"/>
          <w:sz w:val="19"/>
          <w:szCs w:val="19"/>
          <w:lang w:eastAsia="pl-PL"/>
        </w:rPr>
        <w:t>--</w:t>
      </w:r>
      <w:r w:rsidRPr="004E6848">
        <w:rPr>
          <w:rFonts w:ascii="Helvetica" w:eastAsia="Times New Roman" w:hAnsi="Helvetica" w:cs="Helvetica"/>
          <w:color w:val="000000"/>
          <w:sz w:val="19"/>
          <w:szCs w:val="19"/>
          <w:lang w:eastAsia="pl-PL"/>
        </w:rPr>
        <w:br/>
      </w:r>
      <w:proofErr w:type="spellStart"/>
      <w:r w:rsidRPr="004E6848">
        <w:rPr>
          <w:rFonts w:ascii="Helvetica" w:eastAsia="Times New Roman" w:hAnsi="Helvetica" w:cs="Helvetica"/>
          <w:color w:val="000000"/>
          <w:sz w:val="19"/>
          <w:szCs w:val="19"/>
          <w:lang w:eastAsia="pl-PL"/>
        </w:rPr>
        <w:t>Founder</w:t>
      </w:r>
      <w:proofErr w:type="spellEnd"/>
      <w:r w:rsidRPr="004E6848">
        <w:rPr>
          <w:rFonts w:ascii="Helvetica" w:eastAsia="Times New Roman" w:hAnsi="Helvetica" w:cs="Helvetica"/>
          <w:color w:val="000000"/>
          <w:sz w:val="19"/>
          <w:szCs w:val="19"/>
          <w:lang w:eastAsia="pl-PL"/>
        </w:rPr>
        <w:t xml:space="preserve"> and </w:t>
      </w:r>
      <w:proofErr w:type="spellStart"/>
      <w:r w:rsidRPr="004E6848">
        <w:rPr>
          <w:rFonts w:ascii="Helvetica" w:eastAsia="Times New Roman" w:hAnsi="Helvetica" w:cs="Helvetica"/>
          <w:color w:val="000000"/>
          <w:sz w:val="19"/>
          <w:szCs w:val="19"/>
          <w:lang w:eastAsia="pl-PL"/>
        </w:rPr>
        <w:t>President</w:t>
      </w:r>
      <w:proofErr w:type="spellEnd"/>
      <w:r w:rsidRPr="004E6848">
        <w:rPr>
          <w:rFonts w:ascii="Helvetica" w:eastAsia="Times New Roman" w:hAnsi="Helvetica" w:cs="Helvetica"/>
          <w:color w:val="000000"/>
          <w:sz w:val="19"/>
          <w:szCs w:val="19"/>
          <w:lang w:eastAsia="pl-PL"/>
        </w:rPr>
        <w:t xml:space="preserve"> of the </w:t>
      </w:r>
      <w:proofErr w:type="spellStart"/>
      <w:r w:rsidRPr="004E6848">
        <w:rPr>
          <w:rFonts w:ascii="Helvetica" w:eastAsia="Times New Roman" w:hAnsi="Helvetica" w:cs="Helvetica"/>
          <w:color w:val="000000"/>
          <w:sz w:val="19"/>
          <w:szCs w:val="19"/>
          <w:lang w:eastAsia="pl-PL"/>
        </w:rPr>
        <w:t>Foundation's</w:t>
      </w:r>
      <w:proofErr w:type="spellEnd"/>
      <w:r w:rsidRPr="004E6848">
        <w:rPr>
          <w:rFonts w:ascii="Helvetica" w:eastAsia="Times New Roman" w:hAnsi="Helvetica" w:cs="Helvetica"/>
          <w:color w:val="000000"/>
          <w:sz w:val="19"/>
          <w:szCs w:val="19"/>
          <w:lang w:eastAsia="pl-PL"/>
        </w:rPr>
        <w:br/>
        <w:t>Management Board</w:t>
      </w:r>
      <w:r w:rsidRPr="004E6848">
        <w:rPr>
          <w:rFonts w:ascii="Helvetica" w:eastAsia="Times New Roman" w:hAnsi="Helvetica" w:cs="Helvetica"/>
          <w:color w:val="000000"/>
          <w:sz w:val="19"/>
          <w:szCs w:val="19"/>
          <w:lang w:eastAsia="pl-PL"/>
        </w:rPr>
        <w:br/>
        <w:t>Mariusz Najda</w:t>
      </w:r>
    </w:p>
    <w:p w:rsidR="00136DFC" w:rsidRDefault="00136DFC">
      <w:bookmarkStart w:id="0" w:name="_GoBack"/>
      <w:bookmarkEnd w:id="0"/>
    </w:p>
    <w:sectPr w:rsidR="00136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F5217"/>
    <w:multiLevelType w:val="multilevel"/>
    <w:tmpl w:val="01F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232E99"/>
    <w:multiLevelType w:val="multilevel"/>
    <w:tmpl w:val="A914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48"/>
    <w:rsid w:val="00136DFC"/>
    <w:rsid w:val="004E6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44560-4C7A-421B-BCCC-40970292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4E68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6848"/>
    <w:rPr>
      <w:b/>
      <w:bCs/>
    </w:rPr>
  </w:style>
  <w:style w:type="character" w:styleId="Uwydatnienie">
    <w:name w:val="Emphasis"/>
    <w:basedOn w:val="Domylnaczcionkaakapitu"/>
    <w:uiPriority w:val="20"/>
    <w:qFormat/>
    <w:rsid w:val="004E6848"/>
    <w:rPr>
      <w:i/>
      <w:iCs/>
    </w:rPr>
  </w:style>
  <w:style w:type="paragraph" w:customStyle="1" w:styleId="v1last-child1">
    <w:name w:val="v1last-child1"/>
    <w:basedOn w:val="Normalny"/>
    <w:rsid w:val="004E68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ntry.us20.list-manage.com/track/click?u=1a9379142342b6dd907c1bded&amp;id=5e74c305a2&amp;e=7e7aebb53b"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2022-01-19T11:16:00Z</dcterms:created>
  <dcterms:modified xsi:type="dcterms:W3CDTF">2022-01-19T11:16:00Z</dcterms:modified>
</cp:coreProperties>
</file>